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35" w:rsidRDefault="00C04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9E">
        <w:rPr>
          <w:rFonts w:ascii="Times New Roman" w:hAnsi="Times New Roman" w:cs="Times New Roman"/>
          <w:b/>
          <w:sz w:val="24"/>
          <w:szCs w:val="24"/>
        </w:rPr>
        <w:t>FOGLALKOZÁSTERV</w:t>
      </w:r>
    </w:p>
    <w:p w:rsidR="00970C35" w:rsidRDefault="00C04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Komplex Alapprogram pedagógiai rendszerének gyakorlati elsajátítása – </w:t>
      </w:r>
    </w:p>
    <w:p w:rsidR="00970C35" w:rsidRPr="00E4519E" w:rsidRDefault="00C0407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Életgyakorlat-alapú alprogram (ÉA)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3"/>
        <w:gridCol w:w="5879"/>
      </w:tblGrid>
      <w:tr w:rsidR="00970C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70C35" w:rsidRPr="00E4519E" w:rsidRDefault="00C040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9E">
              <w:rPr>
                <w:rFonts w:ascii="Times New Roman" w:hAnsi="Times New Roman" w:cs="Times New Roman"/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E">
              <w:rPr>
                <w:rFonts w:ascii="Times New Roman" w:hAnsi="Times New Roman" w:cs="Times New Roman"/>
                <w:sz w:val="24"/>
                <w:szCs w:val="24"/>
              </w:rPr>
              <w:t>Raffay Gábo</w:t>
            </w:r>
            <w:bookmarkStart w:id="0" w:name="_GoBack"/>
            <w:bookmarkEnd w:id="0"/>
            <w:r w:rsidRPr="00E4519E">
              <w:rPr>
                <w:rFonts w:ascii="Times New Roman" w:hAnsi="Times New Roman" w:cs="Times New Roman"/>
                <w:sz w:val="24"/>
                <w:szCs w:val="24"/>
              </w:rPr>
              <w:t>rné</w:t>
            </w:r>
          </w:p>
        </w:tc>
      </w:tr>
      <w:tr w:rsidR="00970C35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0C35" w:rsidRDefault="00970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70C35" w:rsidRDefault="00C040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 ismerjék meg az iskola házirendj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ét, tudják összehasonlítani az iskolai és az óvodai életet, szokásokat.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35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70C35" w:rsidRDefault="00C04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 és/vagy csoport:                 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1.évfolyam</w:t>
            </w:r>
          </w:p>
        </w:tc>
      </w:tr>
      <w:tr w:rsidR="00970C35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70C35" w:rsidRDefault="00C040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70C35" w:rsidRDefault="0029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="00C04079">
              <w:rPr>
                <w:rFonts w:ascii="Times New Roman" w:hAnsi="Times New Roman" w:cs="Times New Roman"/>
                <w:sz w:val="24"/>
                <w:szCs w:val="24"/>
              </w:rPr>
              <w:t>vodából iskolába</w:t>
            </w:r>
          </w:p>
        </w:tc>
      </w:tr>
      <w:tr w:rsidR="00970C35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70C35" w:rsidRDefault="00C040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foglalkozás témája: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Iskolások lettünk!</w:t>
            </w:r>
          </w:p>
        </w:tc>
      </w:tr>
      <w:tr w:rsidR="00970C35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70C35" w:rsidRDefault="00C040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Környezetismeret,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ének-zene, rajz</w:t>
            </w:r>
          </w:p>
        </w:tc>
      </w:tr>
      <w:tr w:rsidR="00970C35">
        <w:trPr>
          <w:trHeight w:val="47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70C35" w:rsidRDefault="00C040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Alprogrami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Életgyakorlat</w:t>
            </w:r>
          </w:p>
        </w:tc>
      </w:tr>
      <w:tr w:rsidR="00970C35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70C35" w:rsidRDefault="00C040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70C35" w:rsidRDefault="00C04079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A mi világunk</w:t>
            </w:r>
            <w:r w:rsidR="0029146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környezetismeret tankönyv 1. osztály</w:t>
            </w:r>
          </w:p>
        </w:tc>
      </w:tr>
    </w:tbl>
    <w:p w:rsidR="00970C35" w:rsidRDefault="0097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040"/>
        <w:gridCol w:w="2087"/>
        <w:gridCol w:w="1321"/>
        <w:gridCol w:w="1148"/>
        <w:gridCol w:w="1703"/>
      </w:tblGrid>
      <w:tr w:rsidR="00970C35">
        <w:trPr>
          <w:cantSplit/>
          <w:trHeight w:val="1134"/>
        </w:trPr>
        <w:tc>
          <w:tcPr>
            <w:tcW w:w="449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970C35" w:rsidRDefault="00C0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Idő-tartam</w:t>
            </w:r>
          </w:p>
          <w:p w:rsidR="00970C35" w:rsidRDefault="00C0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1191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970C35" w:rsidRDefault="00C0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pedagógus tevékenysége</w:t>
            </w:r>
          </w:p>
        </w:tc>
        <w:tc>
          <w:tcPr>
            <w:tcW w:w="119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970C35" w:rsidRDefault="00C0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tanulók </w:t>
            </w:r>
          </w:p>
          <w:p w:rsidR="00970C35" w:rsidRDefault="00C0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775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970C35" w:rsidRDefault="00C0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680" w:type="pct"/>
            <w:shd w:val="pct12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70C35" w:rsidRDefault="00C04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Munka-forma*</w:t>
            </w:r>
          </w:p>
        </w:tc>
        <w:tc>
          <w:tcPr>
            <w:tcW w:w="1043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970C35" w:rsidRDefault="00C0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970C35">
        <w:trPr>
          <w:trHeight w:val="12488"/>
        </w:trPr>
        <w:tc>
          <w:tcPr>
            <w:tcW w:w="4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70C35" w:rsidRDefault="0097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  <w:p w:rsidR="00970C35" w:rsidRDefault="0097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perc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C" w:rsidRDefault="0029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C" w:rsidRDefault="0029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C" w:rsidRDefault="0029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C" w:rsidRDefault="0029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29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4079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29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079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Ráhangolódás</w:t>
            </w: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1.cs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A csoportokat előzetesen alakítottuk ki</w:t>
            </w:r>
          </w:p>
          <w:p w:rsidR="00970C35" w:rsidRDefault="00970C35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Válogassátok szét a tárgyakat? Hol használjuk: óvodában vagy iskolában ?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2.cs </w:t>
            </w: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Tegyétek időrendbe a kártyákat! </w:t>
            </w: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Egészítsétek ki rajzzal! Azt rajzoljátok le, hogy majd 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thon mit fogtok csinálni!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3.cs</w:t>
            </w: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Beszéljétek meg és rajzoljatok le olyan tárgyakat, amelyekkel otthonosabbá tehetitek az osztályt!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4.cs</w:t>
            </w: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Rajzoljátok le azokat a tárgyakat, amelyeket szívesen használtok az iskolában!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Csoportok beszámolója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Levezető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játék: Tanító néni mondja!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Értékelés: Rajzzal értékeld, hogy érezted magad az órán?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Ének: Halász Judit: Sehallselát Dömötör…..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tárgyak szétválogatása.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gyerekek a kártyára rajzolt tevékenységeket   időrendbe rakják. 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Rajzolás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Rajzolás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tanító által megjelölt cselekvéseket csak akkor kell végre hajtani, ha előttük ez szerepel: Tanító néni mondja!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Rajzolás: mosolygós és szomorú fej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fejzene-hallgatás, közös éneklés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csoportos, egyéni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csoportos, egyéni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csoportos, egyéni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csoportos, egyéni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magnó/</w:t>
            </w: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pendrive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kréta, kispárna, óvodai jel, olvasókönyv, tolltartó, labda, füzet, órarend, homokozó lapát, ágy,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táska, ruhazsák, tornazsák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Kártyák: felkelés, fogmosás, reggeli, olvasó gyerek, ebéd, játék</w:t>
            </w: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papírlapok, íróeszköz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csomagolópapír, zsírkréta, színes ceruza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Csomagolópapír, zsírkréta, színes ceruza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papír, ceruza</w:t>
            </w:r>
          </w:p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35">
        <w:tc>
          <w:tcPr>
            <w:tcW w:w="449" w:type="pct"/>
            <w:tcBorders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70C35" w:rsidRDefault="00C0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Össz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970C35" w:rsidRDefault="0097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C35" w:rsidRDefault="00C0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</w:tcPr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35">
        <w:tc>
          <w:tcPr>
            <w:tcW w:w="449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0C35" w:rsidRDefault="00C0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0" w:type="pct"/>
            <w:gridSpan w:val="5"/>
            <w:vMerge w:val="restart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970C35" w:rsidRDefault="0097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C35" w:rsidRDefault="00C040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</w:tr>
      <w:tr w:rsidR="00970C35">
        <w:tc>
          <w:tcPr>
            <w:tcW w:w="449" w:type="pct"/>
            <w:tcBorders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70C35" w:rsidRDefault="00C0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  <w:tc>
          <w:tcPr>
            <w:tcW w:w="4600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35">
        <w:tc>
          <w:tcPr>
            <w:tcW w:w="449" w:type="pct"/>
            <w:tcBorders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70C35" w:rsidRDefault="00970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70C35" w:rsidRDefault="009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C35" w:rsidRDefault="0097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35" w:rsidRDefault="00C04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foglalkozás során fejlesztett kompetenciák, </w:t>
      </w:r>
      <w:r>
        <w:rPr>
          <w:rFonts w:ascii="Times New Roman" w:hAnsi="Times New Roman" w:cs="Times New Roman"/>
          <w:sz w:val="24"/>
          <w:szCs w:val="24"/>
        </w:rPr>
        <w:t>képességek:</w:t>
      </w:r>
    </w:p>
    <w:p w:rsidR="00970C35" w:rsidRDefault="0097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35" w:rsidRDefault="00C04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Kooperativitás, </w:t>
      </w:r>
      <w:proofErr w:type="gramStart"/>
      <w:r>
        <w:rPr>
          <w:rFonts w:ascii="Times New Roman" w:hAnsi="Times New Roman" w:cs="Times New Roman"/>
          <w:sz w:val="24"/>
          <w:szCs w:val="24"/>
        </w:rPr>
        <w:t>tolerancia</w:t>
      </w:r>
      <w:proofErr w:type="gramEnd"/>
      <w:r>
        <w:rPr>
          <w:rFonts w:ascii="Times New Roman" w:hAnsi="Times New Roman" w:cs="Times New Roman"/>
          <w:sz w:val="24"/>
          <w:szCs w:val="24"/>
        </w:rPr>
        <w:t>, türelem, figyelem, problémamegoldás, szóbeli kifejezőkészség, fantázia, szabálytartás, szerialitás.</w:t>
      </w:r>
    </w:p>
    <w:p w:rsidR="00970C35" w:rsidRDefault="0097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35" w:rsidRDefault="00C04079">
      <w:pPr>
        <w:jc w:val="center"/>
        <w:rPr>
          <w:sz w:val="28"/>
          <w:szCs w:val="28"/>
        </w:rPr>
      </w:pPr>
      <w:r>
        <w:rPr>
          <w:sz w:val="28"/>
          <w:szCs w:val="28"/>
        </w:rPr>
        <w:t>Önreflexió</w:t>
      </w:r>
    </w:p>
    <w:p w:rsidR="00970C35" w:rsidRDefault="00C04079">
      <w:r>
        <w:t>A csoportokat előzetesen véletlenszerúen alakítottam ki, heterogén csoportokat alkottak.</w:t>
      </w:r>
    </w:p>
    <w:p w:rsidR="00970C35" w:rsidRDefault="00C04079">
      <w:r>
        <w:t>Különböző</w:t>
      </w:r>
      <w:r>
        <w:t xml:space="preserve"> színű kártyákat osztottam ki a gyerekek között, az azonos színűek alkottak egy csoportot. Mivel elsősök, év elején vagyunk, újdonság volt a csoportalakítás. Viszonylag könnyen megértették, a közös éneklés pedig jó hangulatot teremtett. Halász Judit dalát </w:t>
      </w:r>
      <w:r>
        <w:t xml:space="preserve">majdnem mindenki ismerte, szívesen, jókedvűen énekeltek. </w:t>
      </w:r>
    </w:p>
    <w:p w:rsidR="00970C35" w:rsidRDefault="00C04079">
      <w:r>
        <w:t>A tárgyak szétválogatását gyorsan és pontosan megoldották. A közös munka kicsit zajosan,de egyetértésben zajlott. A kártyák sorba rendezése is remekül sikerült. Néhány tanuló rajzát (az otthoni tevé</w:t>
      </w:r>
      <w:r>
        <w:t xml:space="preserve">kenységéről) nehezen lehetett felismerni. Sajnos, kevés színt használnak, inkább egyszínű ceruzával rajzolnak. Az osztály otthonosabbá tétele sok fantáziát igényel, néhányan szabadon engedték a képzeletüket; rajzoltak állatokat is vagy az otthoni szobájuk </w:t>
      </w:r>
      <w:r>
        <w:t>mintájára számítógépet,számítógépet stb. Voltak, akik a realitás talaján maradtak, játékpolccal, virágokkal, tévével, szőnyeggel, kanapéval rendezték be az osztályt.</w:t>
      </w:r>
    </w:p>
    <w:p w:rsidR="00970C35" w:rsidRPr="0029146C" w:rsidRDefault="00C04079" w:rsidP="0029146C">
      <w:r>
        <w:t xml:space="preserve">A szívesen használt eszközök között a színes ceruza, a gyurma és a festék volt a nyerő. A </w:t>
      </w:r>
      <w:r>
        <w:t xml:space="preserve">csoportok beszámolója kicsit hangosra sikeredett, mindenki egyszerre szerette volna elmondani a beszámolóját. A türelmet, az egymásra figyelést, az önfegyelmet és a csendes beszédet még gyakorolni kell. Az óra végi játék tetszett a gyerekeknea, sajnálták, </w:t>
      </w:r>
      <w:r>
        <w:t xml:space="preserve">hogy vége lett. Azt hiszem, mindenki jól érezte magát, sikeresnek tartom ezt </w:t>
      </w:r>
      <w:r w:rsidR="0029146C">
        <w:t>az első próbálkozást.</w:t>
      </w:r>
    </w:p>
    <w:sectPr w:rsidR="00970C35" w:rsidRPr="002914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79" w:rsidRDefault="00C04079">
      <w:pPr>
        <w:spacing w:after="0" w:line="240" w:lineRule="auto"/>
      </w:pPr>
      <w:r>
        <w:separator/>
      </w:r>
    </w:p>
  </w:endnote>
  <w:endnote w:type="continuationSeparator" w:id="0">
    <w:p w:rsidR="00C04079" w:rsidRDefault="00C0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35" w:rsidRDefault="00C04079">
    <w:pPr>
      <w:pStyle w:val="llb"/>
      <w:jc w:val="center"/>
    </w:pP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 w:rsidR="00E4519E">
      <w:rPr>
        <w:bCs/>
        <w:noProof/>
      </w:rPr>
      <w:t>4</w:t>
    </w:r>
    <w:r>
      <w:rPr>
        <w:bCs/>
        <w:sz w:val="24"/>
        <w:szCs w:val="24"/>
      </w:rPr>
      <w:fldChar w:fldCharType="end"/>
    </w:r>
    <w: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 w:rsidR="00E4519E">
      <w:rPr>
        <w:bCs/>
        <w:noProof/>
      </w:rPr>
      <w:t>4</w:t>
    </w:r>
    <w:r>
      <w:rPr>
        <w:bCs/>
        <w:sz w:val="24"/>
        <w:szCs w:val="24"/>
      </w:rPr>
      <w:fldChar w:fldCharType="end"/>
    </w:r>
  </w:p>
  <w:p w:rsidR="00970C35" w:rsidRDefault="00C04079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639434" cy="1078865"/>
          <wp:effectExtent l="0" t="0" r="0" b="6985"/>
          <wp:docPr id="307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9434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79" w:rsidRDefault="00C04079">
      <w:pPr>
        <w:spacing w:after="0" w:line="240" w:lineRule="auto"/>
      </w:pPr>
      <w:r>
        <w:separator/>
      </w:r>
    </w:p>
  </w:footnote>
  <w:footnote w:type="continuationSeparator" w:id="0">
    <w:p w:rsidR="00C04079" w:rsidRDefault="00C0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35" w:rsidRDefault="00C04079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871209" cy="694690"/>
          <wp:effectExtent l="0" t="0" r="0" b="0"/>
          <wp:docPr id="307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1209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3738D27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E4A0FB2"/>
    <w:lvl w:ilvl="0" w:tplc="0F8A8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81341488"/>
    <w:lvl w:ilvl="0" w:tplc="0BEEE3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AF34DEA0"/>
    <w:lvl w:ilvl="0" w:tplc="211EE1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9184E6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ED1CD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35"/>
    <w:rsid w:val="0029146C"/>
    <w:rsid w:val="00970C35"/>
    <w:rsid w:val="00C04079"/>
    <w:rsid w:val="00E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C0A5"/>
  <w15:docId w15:val="{EDF8CB49-F380-49F7-9D75-EA008F88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elyrzszveg">
    <w:name w:val="Placeholder Text"/>
    <w:basedOn w:val="Bekezdsalapbettpusa"/>
    <w:uiPriority w:val="99"/>
    <w:rPr>
      <w:color w:val="808080"/>
    </w:rPr>
  </w:style>
  <w:style w:type="paragraph" w:styleId="Buborkszveg">
    <w:name w:val="Balloon Text"/>
    <w:basedOn w:val="Norml"/>
    <w:link w:val="Buborkszveg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525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Olahneti</dc:creator>
  <cp:lastModifiedBy>Raffay Gábor</cp:lastModifiedBy>
  <cp:revision>17</cp:revision>
  <cp:lastPrinted>2019-09-16T07:31:00Z</cp:lastPrinted>
  <dcterms:created xsi:type="dcterms:W3CDTF">2019-08-23T06:05:00Z</dcterms:created>
  <dcterms:modified xsi:type="dcterms:W3CDTF">2019-10-06T19:15:00Z</dcterms:modified>
</cp:coreProperties>
</file>